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F604A5" w14:paraId="707B77A8" w14:textId="77777777" w:rsidTr="00E54299">
        <w:tc>
          <w:tcPr>
            <w:tcW w:w="5637" w:type="dxa"/>
            <w:noWrap/>
          </w:tcPr>
          <w:p w14:paraId="1C12F275" w14:textId="77777777" w:rsidR="00F604A5" w:rsidRDefault="00F604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white"/>
              </w:rPr>
            </w:pPr>
          </w:p>
        </w:tc>
        <w:tc>
          <w:tcPr>
            <w:tcW w:w="3933" w:type="dxa"/>
            <w:noWrap/>
          </w:tcPr>
          <w:p w14:paraId="1DEC3FE8" w14:textId="77777777" w:rsidR="00F604A5" w:rsidRDefault="00E54299" w:rsidP="00E542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Приложение</w:t>
            </w:r>
          </w:p>
          <w:p w14:paraId="0B5C731D" w14:textId="77777777" w:rsidR="00F604A5" w:rsidRDefault="00E54299" w:rsidP="00E542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к решению Совета муниципального образования Староминский район</w:t>
            </w:r>
          </w:p>
          <w:p w14:paraId="74B8CC1D" w14:textId="0E3D8EB2" w:rsidR="00F604A5" w:rsidRDefault="00E54299" w:rsidP="00E542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от </w:t>
            </w:r>
            <w:r w:rsidR="00FD0CA3"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19.04.2023 </w:t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№</w:t>
            </w:r>
            <w:r w:rsidR="00FD0CA3"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 29/1</w:t>
            </w:r>
          </w:p>
        </w:tc>
      </w:tr>
    </w:tbl>
    <w:p w14:paraId="4BAA6370" w14:textId="77777777" w:rsidR="00F604A5" w:rsidRDefault="00F604A5">
      <w:pPr>
        <w:spacing w:after="240" w:line="240" w:lineRule="auto"/>
        <w:jc w:val="center"/>
        <w:rPr>
          <w:rFonts w:ascii="Times New Roman" w:hAnsi="Times New Roman"/>
          <w:b/>
          <w:color w:val="FF0000"/>
          <w:sz w:val="28"/>
          <w:szCs w:val="28"/>
          <w:highlight w:val="white"/>
        </w:rPr>
      </w:pPr>
    </w:p>
    <w:p w14:paraId="62B59FD2" w14:textId="77777777" w:rsidR="00F604A5" w:rsidRDefault="00E54299">
      <w:pPr>
        <w:spacing w:after="240" w:line="240" w:lineRule="auto"/>
        <w:jc w:val="center"/>
        <w:rPr>
          <w:rFonts w:ascii="Times New Roman" w:hAnsi="Times New Roman"/>
          <w:b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>Отчет о деятельности контрольно-счетной палаты муниципального образования Староминский район за 2022 год</w:t>
      </w:r>
    </w:p>
    <w:p w14:paraId="6CC116D9" w14:textId="77777777" w:rsidR="00F604A5" w:rsidRDefault="00E54299">
      <w:pPr>
        <w:spacing w:after="24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highlight w:val="white"/>
        </w:rPr>
      </w:pPr>
      <w:r>
        <w:rPr>
          <w:rFonts w:ascii="Times New Roman" w:hAnsi="Times New Roman"/>
          <w:bCs/>
          <w:sz w:val="28"/>
          <w:szCs w:val="28"/>
          <w:highlight w:val="white"/>
          <w:lang w:eastAsia="ru-RU"/>
        </w:rPr>
        <w:t>Настоящий годовой отчет о деятельности контрольно-счетной палаты муниципального образования Староминский район за 2022 год  подготовлен в соответствии с требованиями статьи 19 Федерального закона от 7 февраля 2011 года  №6-ФЗ «Об общих принципах организации и деятельности контрольно-счетных органов субъектов Российской Федерации и муниципальных образований» (далее – Федеральный закон №6-ФЗ)  и статьи 20 Положения о контрольно-счетной палате муниципального образования Староминский район, утвержденного решением Совета муниципального  образования Староминский район от 23.11.2011 №19/1 «О контрольно-счетной палате муниципального образования Староминский район» (далее – Положение о контрольно-счетной палате) и  включает в себя общие сведения о результатах проведенных контрольных и экспертно-аналитических мероприятий, вытекающих из них выводах, рекомендациях и предложениях.</w:t>
      </w:r>
    </w:p>
    <w:p w14:paraId="469681B0" w14:textId="77777777" w:rsidR="00F604A5" w:rsidRDefault="00E54299">
      <w:pPr>
        <w:spacing w:after="240" w:line="240" w:lineRule="auto"/>
        <w:jc w:val="center"/>
        <w:rPr>
          <w:rFonts w:ascii="Times New Roman" w:hAnsi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/>
          <w:b/>
          <w:bCs/>
          <w:sz w:val="28"/>
          <w:szCs w:val="28"/>
          <w:highlight w:val="white"/>
          <w:lang w:eastAsia="ru-RU"/>
        </w:rPr>
        <w:t>1. Деятельность контрольно-счетной палаты (общая часть)</w:t>
      </w:r>
    </w:p>
    <w:p w14:paraId="16FA0459" w14:textId="77777777" w:rsidR="00F604A5" w:rsidRDefault="00E54299">
      <w:pPr>
        <w:spacing w:after="240" w:line="240" w:lineRule="auto"/>
        <w:contextualSpacing/>
        <w:jc w:val="both"/>
        <w:rPr>
          <w:rFonts w:ascii="Times New Roman" w:hAnsi="Times New Roman"/>
          <w:bCs/>
          <w:sz w:val="28"/>
          <w:szCs w:val="28"/>
          <w:highlight w:val="white"/>
        </w:rPr>
      </w:pPr>
      <w:r>
        <w:rPr>
          <w:rFonts w:ascii="Times New Roman" w:hAnsi="Times New Roman"/>
          <w:bCs/>
          <w:sz w:val="28"/>
          <w:szCs w:val="28"/>
          <w:highlight w:val="white"/>
          <w:lang w:eastAsia="ru-RU"/>
        </w:rPr>
        <w:tab/>
        <w:t>Контрольно-счетная палата муниципального образования Староминский район (далее - Контрольно-счетная палата) была создана Советом муниципального образования Староминский район 1 февраля 2012 года как самостоятельный орган местного самоуправления, являющийся органом внешнего муниципального финансового контроля, наделенный статусом юридического лица, является участником бюджетного процесса, обладающая бюджетными полномочиями, функционирует одиннадцать лет.</w:t>
      </w:r>
    </w:p>
    <w:p w14:paraId="108581C8" w14:textId="77777777" w:rsidR="00F604A5" w:rsidRDefault="00E54299">
      <w:pPr>
        <w:spacing w:after="24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highlight w:val="white"/>
        </w:rPr>
      </w:pPr>
      <w:r>
        <w:rPr>
          <w:rFonts w:ascii="Times New Roman" w:hAnsi="Times New Roman"/>
          <w:bCs/>
          <w:sz w:val="28"/>
          <w:szCs w:val="28"/>
          <w:highlight w:val="white"/>
          <w:lang w:eastAsia="ru-RU"/>
        </w:rPr>
        <w:t>Деятельность Контрольно-счетной палаты в отчетном году осуществлялась в единой системе предотвращения бюджетно-финансовых нарушений, контроля за исполнением доходной и расходной частей бюджета района, внедрения принципов аудита эффективности использования финансовых ресурсов и муниципальной собственности.</w:t>
      </w:r>
    </w:p>
    <w:p w14:paraId="6CD09904" w14:textId="77777777" w:rsidR="00F604A5" w:rsidRDefault="00E54299">
      <w:pPr>
        <w:spacing w:after="240" w:line="240" w:lineRule="auto"/>
        <w:contextualSpacing/>
        <w:jc w:val="both"/>
        <w:rPr>
          <w:bCs/>
          <w:szCs w:val="28"/>
        </w:rPr>
      </w:pPr>
      <w:r>
        <w:rPr>
          <w:rFonts w:ascii="Times New Roman" w:hAnsi="Times New Roman"/>
          <w:bCs/>
          <w:sz w:val="28"/>
          <w:szCs w:val="28"/>
          <w:highlight w:val="white"/>
          <w:lang w:eastAsia="ru-RU"/>
        </w:rPr>
        <w:tab/>
        <w:t xml:space="preserve">Контрольно-счетная палата, как и в предыдущие годы в отчетном периоде приняла на исполнение также полномочия контрольно-счетных органов по осуществлению муниципального финансового контроля всех пяти  сельских поселений района. </w:t>
      </w:r>
      <w:r>
        <w:rPr>
          <w:rFonts w:ascii="Times New Roman" w:hAnsi="Times New Roman"/>
          <w:bCs/>
          <w:sz w:val="28"/>
          <w:szCs w:val="28"/>
          <w:highlight w:val="white"/>
          <w:lang w:eastAsia="ru-RU"/>
        </w:rPr>
        <w:tab/>
      </w:r>
    </w:p>
    <w:p w14:paraId="198B139C" w14:textId="77777777" w:rsidR="00F604A5" w:rsidRDefault="00E54299">
      <w:pPr>
        <w:spacing w:after="240" w:line="240" w:lineRule="auto"/>
        <w:contextualSpacing/>
        <w:jc w:val="both"/>
        <w:rPr>
          <w:rFonts w:ascii="Times New Roman" w:hAnsi="Times New Roman"/>
          <w:sz w:val="28"/>
          <w:szCs w:val="28"/>
          <w:highlight w:val="white"/>
        </w:rPr>
      </w:pPr>
      <w:r>
        <w:tab/>
      </w:r>
      <w:r>
        <w:rPr>
          <w:rFonts w:ascii="Times New Roman" w:hAnsi="Times New Roman"/>
          <w:sz w:val="28"/>
        </w:rPr>
        <w:t xml:space="preserve">В связи с вступившими в силу с 30.09.2021 года изменениями Федерального закона №6-ФЗ администрацией муниципального образования Староминский район, Советом муниципального образования Староминский </w:t>
      </w:r>
      <w:r>
        <w:rPr>
          <w:rFonts w:ascii="Times New Roman" w:hAnsi="Times New Roman"/>
          <w:sz w:val="28"/>
        </w:rPr>
        <w:lastRenderedPageBreak/>
        <w:t xml:space="preserve">район и Контрольно-счетной палатой приведены в соответствие ряд муниципальных правовых актов, регулирующих вопросы осуществления внешнего муниципального финансового контроля на территории муниципального образования Староминский район, среди которых Устав муниципального образования Староминский район в части полномочий Контрольно-счетной палаты, Положение о контрольно-счетной палате.  </w:t>
      </w:r>
    </w:p>
    <w:p w14:paraId="077C038B" w14:textId="77777777" w:rsidR="00F604A5" w:rsidRDefault="00E54299">
      <w:pPr>
        <w:spacing w:after="24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highlight w:val="white"/>
        </w:rPr>
      </w:pPr>
      <w:r>
        <w:rPr>
          <w:rFonts w:ascii="Times New Roman" w:hAnsi="Times New Roman"/>
          <w:bCs/>
          <w:sz w:val="28"/>
          <w:szCs w:val="28"/>
          <w:highlight w:val="white"/>
          <w:lang w:eastAsia="ru-RU"/>
        </w:rPr>
        <w:t>В 2022 году вся деятельность Контрольно-счетной палаты осуществлялась в строгом соответствии с Уставом муниципального образования Староминский район и решением Совета муниципального образования Староминский район «О контрольно-счетной палате муниципального образования Староминский район», в соответствии с  планом работы Контрольно-счетной палаты на 2022 год, утвержденного председателем Контрольно-счетной палаты. При формировании годового плана работы учтены поручения Совета муниципального образования Староминский район, поручения Советов всех пяти поселений, входящих в состав муниципального образования Староминский район, а также предложения главы муниципального образования Староминский район и глав поселений.</w:t>
      </w:r>
    </w:p>
    <w:p w14:paraId="3BA0A3FE" w14:textId="77777777" w:rsidR="00F604A5" w:rsidRDefault="00E54299">
      <w:pPr>
        <w:spacing w:after="24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highlight w:val="white"/>
        </w:rPr>
      </w:pPr>
      <w:r>
        <w:rPr>
          <w:rFonts w:ascii="Times New Roman" w:hAnsi="Times New Roman"/>
          <w:bCs/>
          <w:sz w:val="28"/>
          <w:szCs w:val="28"/>
          <w:highlight w:val="white"/>
          <w:lang w:eastAsia="ru-RU"/>
        </w:rPr>
        <w:t>Деятельность Контрольно-счетной палаты планировалась по четырем направлениям:</w:t>
      </w:r>
    </w:p>
    <w:p w14:paraId="1CC01F77" w14:textId="77777777" w:rsidR="00F604A5" w:rsidRDefault="00E54299">
      <w:pPr>
        <w:spacing w:after="24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highlight w:val="white"/>
        </w:rPr>
      </w:pPr>
      <w:r>
        <w:rPr>
          <w:rFonts w:ascii="Times New Roman" w:hAnsi="Times New Roman"/>
          <w:bCs/>
          <w:sz w:val="28"/>
          <w:szCs w:val="28"/>
          <w:highlight w:val="white"/>
          <w:lang w:eastAsia="ru-RU"/>
        </w:rPr>
        <w:t>-мероприятия по контролю формирования и исполнения бюджета муниципального образования Староминский район и сельских поселений, входящих в состав муниципального образования Староминский район;</w:t>
      </w:r>
    </w:p>
    <w:p w14:paraId="1183EA0E" w14:textId="77777777" w:rsidR="00F604A5" w:rsidRDefault="00E54299">
      <w:pPr>
        <w:spacing w:after="24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highlight w:val="white"/>
        </w:rPr>
      </w:pPr>
      <w:r>
        <w:rPr>
          <w:rFonts w:ascii="Times New Roman" w:hAnsi="Times New Roman"/>
          <w:bCs/>
          <w:sz w:val="28"/>
          <w:szCs w:val="28"/>
          <w:highlight w:val="white"/>
          <w:lang w:eastAsia="ru-RU"/>
        </w:rPr>
        <w:t>-контрольные и экспертно-аналитические мероприятия;</w:t>
      </w:r>
    </w:p>
    <w:p w14:paraId="0CB6DC0D" w14:textId="77777777" w:rsidR="00F604A5" w:rsidRDefault="00E54299">
      <w:pPr>
        <w:spacing w:after="24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highlight w:val="white"/>
        </w:rPr>
      </w:pPr>
      <w:r>
        <w:rPr>
          <w:rFonts w:ascii="Times New Roman" w:hAnsi="Times New Roman"/>
          <w:bCs/>
          <w:sz w:val="28"/>
          <w:szCs w:val="28"/>
          <w:highlight w:val="white"/>
          <w:lang w:eastAsia="ru-RU"/>
        </w:rPr>
        <w:t>-информационные мероприятия;</w:t>
      </w:r>
    </w:p>
    <w:p w14:paraId="5E24A4B4" w14:textId="77777777" w:rsidR="00F604A5" w:rsidRDefault="00E54299">
      <w:pPr>
        <w:spacing w:after="24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highlight w:val="white"/>
        </w:rPr>
      </w:pPr>
      <w:r>
        <w:rPr>
          <w:rFonts w:ascii="Times New Roman" w:hAnsi="Times New Roman"/>
          <w:bCs/>
          <w:sz w:val="28"/>
          <w:szCs w:val="28"/>
          <w:highlight w:val="white"/>
          <w:lang w:eastAsia="ru-RU"/>
        </w:rPr>
        <w:t>-организационно-технические мероприятия.</w:t>
      </w:r>
    </w:p>
    <w:p w14:paraId="3ECF8042" w14:textId="77777777" w:rsidR="00F604A5" w:rsidRDefault="00E54299">
      <w:pPr>
        <w:spacing w:after="24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highlight w:val="white"/>
        </w:rPr>
      </w:pPr>
      <w:r>
        <w:rPr>
          <w:rFonts w:ascii="Times New Roman" w:hAnsi="Times New Roman"/>
          <w:bCs/>
          <w:sz w:val="28"/>
          <w:szCs w:val="28"/>
          <w:highlight w:val="white"/>
          <w:lang w:eastAsia="ru-RU"/>
        </w:rPr>
        <w:t>Планирование деятельности Контрольно-счетной палаты за 2022 год осуществлялось исходя из:</w:t>
      </w:r>
    </w:p>
    <w:p w14:paraId="397828E9" w14:textId="77777777" w:rsidR="00F604A5" w:rsidRDefault="00E54299">
      <w:pPr>
        <w:spacing w:after="24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highlight w:val="white"/>
        </w:rPr>
      </w:pPr>
      <w:r>
        <w:rPr>
          <w:rFonts w:ascii="Times New Roman" w:hAnsi="Times New Roman"/>
          <w:bCs/>
          <w:sz w:val="28"/>
          <w:szCs w:val="28"/>
          <w:highlight w:val="white"/>
          <w:lang w:eastAsia="ru-RU"/>
        </w:rPr>
        <w:t>-необходимости соблюдения процедур и сроков проведения мероприятий по формированию и исполнению местного  бюджета, установленных бюджетным законодательством;</w:t>
      </w:r>
    </w:p>
    <w:p w14:paraId="51C650AE" w14:textId="77777777" w:rsidR="00F604A5" w:rsidRDefault="00E54299">
      <w:pPr>
        <w:spacing w:after="24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highlight w:val="white"/>
        </w:rPr>
      </w:pPr>
      <w:r>
        <w:rPr>
          <w:rFonts w:ascii="Times New Roman" w:hAnsi="Times New Roman"/>
          <w:bCs/>
          <w:sz w:val="28"/>
          <w:szCs w:val="28"/>
          <w:highlight w:val="white"/>
          <w:lang w:eastAsia="ru-RU"/>
        </w:rPr>
        <w:t>-полномочий, предусмотренных Бюджетным кодексом Российской Федерации, Федеральным законом №6-ФЗ и Положением о контрольно-счетной палате;</w:t>
      </w:r>
    </w:p>
    <w:p w14:paraId="4011FB7A" w14:textId="77777777" w:rsidR="00F604A5" w:rsidRDefault="00E54299">
      <w:pPr>
        <w:spacing w:after="24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highlight w:val="white"/>
        </w:rPr>
      </w:pPr>
      <w:r>
        <w:rPr>
          <w:rFonts w:ascii="Times New Roman" w:hAnsi="Times New Roman"/>
          <w:bCs/>
          <w:sz w:val="28"/>
          <w:szCs w:val="28"/>
          <w:highlight w:val="white"/>
          <w:lang w:eastAsia="ru-RU"/>
        </w:rPr>
        <w:t>-наличия трудовых ресурсов, а именно численности Контрольно-счетной палаты.</w:t>
      </w:r>
    </w:p>
    <w:p w14:paraId="0CE9501D" w14:textId="77777777" w:rsidR="00F604A5" w:rsidRDefault="00E54299">
      <w:pPr>
        <w:spacing w:after="24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highlight w:val="white"/>
        </w:rPr>
      </w:pPr>
      <w:r>
        <w:rPr>
          <w:rFonts w:ascii="Times New Roman" w:hAnsi="Times New Roman"/>
          <w:bCs/>
          <w:sz w:val="28"/>
          <w:szCs w:val="28"/>
          <w:highlight w:val="white"/>
          <w:lang w:eastAsia="ru-RU"/>
        </w:rPr>
        <w:t>В 2022 году фактическая численность Контрольно-счетной палаты составила 3 штатные единицы.</w:t>
      </w:r>
    </w:p>
    <w:p w14:paraId="6DB32560" w14:textId="77777777" w:rsidR="00F604A5" w:rsidRDefault="00E54299">
      <w:pPr>
        <w:spacing w:after="24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highlight w:val="white"/>
        </w:rPr>
      </w:pPr>
      <w:r>
        <w:rPr>
          <w:rFonts w:ascii="Times New Roman" w:hAnsi="Times New Roman"/>
          <w:bCs/>
          <w:sz w:val="28"/>
          <w:szCs w:val="28"/>
          <w:highlight w:val="white"/>
          <w:lang w:eastAsia="ru-RU"/>
        </w:rPr>
        <w:t>Основные задачи Контрольно-счетной палаты в отчетном периоде заключались в контроле за исполнением местного бюджета и бюджетов сельских поселений, а также за соблюдением установленного порядка подготовки и рассмотрения проектов местных бюджетов района и поселений, отчета об исполнении местных бюджетов, в повышении эффективности использования средств местных бюджетов и муниципальной собственности.</w:t>
      </w:r>
    </w:p>
    <w:p w14:paraId="0CADC099" w14:textId="77777777" w:rsidR="00F604A5" w:rsidRDefault="00E54299">
      <w:pPr>
        <w:spacing w:after="24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highlight w:val="white"/>
        </w:rPr>
      </w:pPr>
      <w:r>
        <w:rPr>
          <w:rFonts w:ascii="Times New Roman" w:hAnsi="Times New Roman"/>
          <w:bCs/>
          <w:sz w:val="28"/>
          <w:szCs w:val="28"/>
          <w:highlight w:val="white"/>
          <w:lang w:eastAsia="ru-RU"/>
        </w:rPr>
        <w:lastRenderedPageBreak/>
        <w:t>Целью контрольной и экспертно-аналитической деятельности являлась разработка предложений и рекомендаций, направленных не только на устранение выявленных нарушений и недостатков, а также на их предотвращение и предупреждение, на выявление системных причин, негативно влияющих на качество управленческих решений принимаемых органами местного самоуправления.</w:t>
      </w:r>
    </w:p>
    <w:p w14:paraId="00C276A4" w14:textId="77777777" w:rsidR="00F604A5" w:rsidRDefault="00E54299">
      <w:pPr>
        <w:spacing w:after="24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highlight w:val="white"/>
        </w:rPr>
      </w:pPr>
      <w:r>
        <w:rPr>
          <w:rFonts w:ascii="Times New Roman" w:hAnsi="Times New Roman"/>
          <w:bCs/>
          <w:sz w:val="28"/>
          <w:szCs w:val="28"/>
          <w:highlight w:val="white"/>
          <w:lang w:eastAsia="ru-RU"/>
        </w:rPr>
        <w:t>Основные итоги работы Контрольно-счетной палаты в 2022 году.</w:t>
      </w:r>
    </w:p>
    <w:p w14:paraId="3F4E28E0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cyan"/>
        </w:rPr>
      </w:pPr>
      <w:r>
        <w:rPr>
          <w:rFonts w:ascii="Times New Roman" w:hAnsi="Times New Roman"/>
          <w:sz w:val="28"/>
          <w:szCs w:val="28"/>
          <w:highlight w:val="white"/>
        </w:rPr>
        <w:t>В целом в отчетном году сотрудниками Контрольно-счетной палаты проведено 60 мероприятий, из них 18 контрольных мероприятий, 1 аудит в сфере закупок  и 41 экспертно-аналитическое мероприятие.</w:t>
      </w:r>
    </w:p>
    <w:p w14:paraId="3482F52A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Контрольными мероприятиями охвачены 19 объектов проверки, из них 16 органов местного самоуправления, 2 муниципальных учреждения, 1 государственное учреждение (по запросу Прокуратуры Староминского района).</w:t>
      </w:r>
    </w:p>
    <w:p w14:paraId="1F041EC2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Объем проверенных средств составил 1 528 824,7 тыс.рублей, в том числе 1 459 950,6 тыс. рублей при внешней проверке отчета об исполнении бюджета и бюджетной (бухгалтерской) отчетности, аудит в сфере закупок      9 756,4 тыс.рублей и прочие контрольные мероприятия на сумму                    59 117,7 тыс.рублей.</w:t>
      </w:r>
    </w:p>
    <w:p w14:paraId="7C1CAB6D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Стоимость проверенного имущества составила 44 268,1 тыс.рублей.</w:t>
      </w:r>
    </w:p>
    <w:p w14:paraId="72E96237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Результаты проведенных в отчетном периоде контрольных и экспертно-аналитических мероприятий свидетельствуют о том, что бюджетные средства, выделяемые на финансирование органов местного самоуправления и учреждений, в основном, использовались в соответствии с требованиями действующего бюджетного законодательства.</w:t>
      </w:r>
    </w:p>
    <w:p w14:paraId="7E69CE4A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Вместе с тем, имеются финансовые нарушения и недостатки.</w:t>
      </w:r>
    </w:p>
    <w:p w14:paraId="3C1BE5E4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cyan"/>
        </w:rPr>
      </w:pPr>
      <w:r>
        <w:rPr>
          <w:rFonts w:ascii="Times New Roman" w:hAnsi="Times New Roman"/>
          <w:sz w:val="28"/>
          <w:szCs w:val="28"/>
          <w:highlight w:val="white"/>
        </w:rPr>
        <w:t>В отчетном периоде Контрольно-счетной палатой выявлено финансовых нарушений и недостатков на сумму 63,6 тыс.рублей, нарушение заключается в том, что администрацией Куйбышевского сельского поселения Староминского района произведено расходование средств межбюджетных трансфертов из бюджета муниципального образования Староминский район не в соответствии с целями их предоставления. В результате бюджетных мер принуждения средства в сумме 63,6 тыс.рублей поступили в доход бюджета муниципального образования Староминский район. Кроме этого неэффективное использование бюджетных средств на сумму                     1563,5 тыс.рублей, в том числе штрафы, пени в сумме 294,3 тыс.рублей.</w:t>
      </w:r>
    </w:p>
    <w:p w14:paraId="154F4328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Далее, нарушения порядка ведения бюджетного (бухгалтерского) учета, составления и предоставления отчетности на сумму                                52 765,5 тыс.рублей, в том числе повлиявшие на достоверность отчета об исполнении бюджета и бюджетной отчетности на сумму 3 023,2 тыс.рублей. Структура выявленных нарушений представлена следующим образом: </w:t>
      </w:r>
    </w:p>
    <w:p w14:paraId="1CD01B84" w14:textId="77777777" w:rsidR="00F604A5" w:rsidRDefault="00E54299">
      <w:pPr>
        <w:pStyle w:val="afc"/>
        <w:numPr>
          <w:ilvl w:val="0"/>
          <w:numId w:val="2"/>
        </w:numPr>
        <w:spacing w:after="0" w:line="240" w:lineRule="auto"/>
        <w:ind w:left="0" w:firstLine="1057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нарушение требований, предъявляемых к оформлению фактов хозяйственной жизни экономического субъекта первичными учетными документами   21 144,8 тыс.рублей;</w:t>
      </w:r>
    </w:p>
    <w:p w14:paraId="76BC6374" w14:textId="77777777" w:rsidR="00F604A5" w:rsidRDefault="00E54299">
      <w:pPr>
        <w:pStyle w:val="afc"/>
        <w:numPr>
          <w:ilvl w:val="0"/>
          <w:numId w:val="2"/>
        </w:numPr>
        <w:spacing w:after="0" w:line="240" w:lineRule="auto"/>
        <w:ind w:left="0" w:firstLine="1057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lastRenderedPageBreak/>
        <w:t>нарушение требований, предъявляемых к проведению инвентаризации активов и обязательств в случаях, сроках и порядке, а также к перечню объектов, подлежащих инвентаризации определенных экономическим субъектом 28 370,6 тыс.рублей;</w:t>
      </w:r>
    </w:p>
    <w:p w14:paraId="34404470" w14:textId="77777777" w:rsidR="00F604A5" w:rsidRDefault="00E54299">
      <w:pPr>
        <w:pStyle w:val="afc"/>
        <w:numPr>
          <w:ilvl w:val="0"/>
          <w:numId w:val="2"/>
        </w:numPr>
        <w:spacing w:after="0" w:line="240" w:lineRule="auto"/>
        <w:ind w:left="0" w:firstLine="1057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нарушение (грубое нарушение) правил ведения бухгалтерского учета, выразившееся в искажении любой статьи (строки) формы бухгалтерской отчетности не менее чем на 10 процентов в сумме                      2 845,0 тыс.рублей;</w:t>
      </w:r>
    </w:p>
    <w:p w14:paraId="208E5ABA" w14:textId="77777777" w:rsidR="00F604A5" w:rsidRDefault="00E54299">
      <w:pPr>
        <w:pStyle w:val="afc"/>
        <w:numPr>
          <w:ilvl w:val="0"/>
          <w:numId w:val="2"/>
        </w:numPr>
        <w:spacing w:after="0" w:line="240" w:lineRule="auto"/>
        <w:ind w:left="0" w:firstLine="1057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недостоверное отражение (не отражение) в учете и отчетности показателей дебиторской и кредиторской задолженности на сумму             178,2 тыс.рублей;</w:t>
      </w:r>
    </w:p>
    <w:p w14:paraId="103B437A" w14:textId="77777777" w:rsidR="00F604A5" w:rsidRDefault="00E54299">
      <w:pPr>
        <w:pStyle w:val="afc"/>
        <w:numPr>
          <w:ilvl w:val="0"/>
          <w:numId w:val="2"/>
        </w:numPr>
        <w:spacing w:after="0" w:line="240" w:lineRule="auto"/>
        <w:ind w:left="0" w:firstLine="1057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прочие нарушения на сумму 226,9 тыс.рублей. </w:t>
      </w:r>
    </w:p>
    <w:p w14:paraId="4C9851BF" w14:textId="77777777" w:rsidR="00F604A5" w:rsidRDefault="00E54299">
      <w:pPr>
        <w:spacing w:after="0" w:line="240" w:lineRule="auto"/>
        <w:ind w:firstLine="1057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>По результатам проверки устранены нарушения порядка ведения бюджетного (бухгалтерского) учета, составления и предоставления отчетности на сумму 3 353,4 тыс.рублей, составлены три протокола об административном правонарушении по ч.2 ст.15.15.6 КоАП РФ,                   ч.4. ст.15.15.6 КоАП РФ, ч.7 ст.15.15.6 КоАП РФ, по результатам суда признаны виновными в совершении административного правонарушения два главных бухгалтера сельских поселений.</w:t>
      </w:r>
    </w:p>
    <w:p w14:paraId="0A84EF98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cyan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 Установлены факты нарушения действующего законодательства (Бюджетного кодекса РФ, Гражданского кодекса РФ и так далее) в стоимостном выражении на общую сумму 5 044,1 тыс.рублей. Стоимость имущества, используемого с нарушением установленного порядка управления и распоряжения имуществом составила 44 268,1 тыс.рублей, нарушение выявлено в ходе проведения внеплановой проверки «законности и эффективности использования в 2021 году средств бюджета Староминского сельского поселения Староминского района на ремонт автомобильных дорог в рамках муниципальной программы «Дорожное хозяйство и повышение безопасности дорожного движения на территории Староминского сельского поселения». Так выявлено, что по 8 объектам автомобильных дорог отсутствуют кадастровые номера муниципального недвижимого имущества, т.е. объекты не зарегистрированы в органе регистрации прав, что является нарушением статей 130, 131 Гражданского кодекса РФ и п.6 ст.1 Федерального закона от 13.07.2015 года №218-ФЗ «О государственной регистрации недвижимости». </w:t>
      </w:r>
    </w:p>
    <w:p w14:paraId="28E86094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Структура выявляемых нарушений на протяжении нескольких лет меняется в зависимости от тематики проведенных контрольных мероприятий.</w:t>
      </w:r>
    </w:p>
    <w:p w14:paraId="75CDD6BE" w14:textId="77777777" w:rsidR="00F604A5" w:rsidRDefault="00E54299">
      <w:pPr>
        <w:spacing w:after="0" w:line="240" w:lineRule="auto"/>
        <w:ind w:firstLine="708"/>
        <w:jc w:val="both"/>
        <w:rPr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Результаты всех контрольных мероприятий доведены до сведения руководителей объектов проверки в виде представлений и информационных писем с указанием предложений и рекомендаций, направленных на устранение выявленных замечаний и нарушений.</w:t>
      </w:r>
    </w:p>
    <w:p w14:paraId="74B43413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cyan"/>
        </w:rPr>
      </w:pPr>
      <w:r>
        <w:rPr>
          <w:rFonts w:ascii="Times New Roman" w:hAnsi="Times New Roman"/>
          <w:sz w:val="28"/>
        </w:rPr>
        <w:t xml:space="preserve">Отдельным мероприятием проводился аудит в сфере закупок в котором выявлено неправомерное использование бюджетных средств в сумме           </w:t>
      </w:r>
      <w:r>
        <w:rPr>
          <w:rFonts w:ascii="Times New Roman" w:hAnsi="Times New Roman"/>
          <w:sz w:val="28"/>
        </w:rPr>
        <w:lastRenderedPageBreak/>
        <w:t xml:space="preserve">242,4 тысяч рублей, средства возвращены в доход муниципального образования Староминский район. </w:t>
      </w:r>
    </w:p>
    <w:p w14:paraId="403EC340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Благодаря мерам, принимаемым администрациями муниципальных образований Староминского района и проверяемыми учреждениями, за отчетный период устранено нарушений на сумму 5 476,7 тыс.рублей, в том числе:</w:t>
      </w:r>
    </w:p>
    <w:p w14:paraId="42D53BF3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-устранено финансовых нарушений на сумму 63,6 тыс.рублей, средства возвращены в доход бюджета;</w:t>
      </w:r>
    </w:p>
    <w:p w14:paraId="0969C0FB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-неэффективного использования средств в сумме 79,2 тыс.рублей;</w:t>
      </w:r>
    </w:p>
    <w:p w14:paraId="391D1FA5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-устранены нарушения порядка ведения бюджетного (бухгалтерского) учета, составления и предоставления отчетности 3 353,4 тыс.рублей;</w:t>
      </w:r>
    </w:p>
    <w:p w14:paraId="2D53DB34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-приняты меры по устранению нарушений действующего законодательства на сумму 1 738,1 тыс.рублей;</w:t>
      </w:r>
    </w:p>
    <w:p w14:paraId="050D20B4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-приняты меры по устранению нарушений, выявленных аудитом в сфере закупок в сумме 242,4 тыс.рублей, средства возвращены в доход бюджета.</w:t>
      </w:r>
    </w:p>
    <w:p w14:paraId="63AC3F74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Всего за 2022 год направлено 18 представлений об устранении выявленных нарушений и недостатков, 1 предписание. </w:t>
      </w:r>
    </w:p>
    <w:p w14:paraId="620B2978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white"/>
        </w:rPr>
        <w:t>Кроме этого по материалам проверки привлечено к дисциплинарной ответственности 13 должностных лиц.</w:t>
      </w:r>
    </w:p>
    <w:p w14:paraId="6142C2C0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</w:rPr>
        <w:t>Направлено материалов в Прокуратуру Староминского района в количестве 2 единиц.</w:t>
      </w:r>
    </w:p>
    <w:p w14:paraId="593617A4" w14:textId="77777777" w:rsidR="00F604A5" w:rsidRDefault="00E54299">
      <w:pPr>
        <w:spacing w:after="0" w:line="240" w:lineRule="auto"/>
        <w:ind w:firstLine="708"/>
        <w:jc w:val="both"/>
        <w:rPr>
          <w:szCs w:val="28"/>
        </w:rPr>
      </w:pPr>
      <w:r>
        <w:rPr>
          <w:rFonts w:ascii="Times New Roman" w:hAnsi="Times New Roman"/>
          <w:sz w:val="28"/>
          <w:szCs w:val="28"/>
          <w:highlight w:val="white"/>
        </w:rPr>
        <w:t>По материалам контрольных мероприятий Контрольно-счетной палаты возбуждено 5 административных дела по ч.20 ст.19.5 КоАП РФ,                     ч.2 ст.15.15.6 КоАП РФ; ч.7 ст.15.15.6 КоАП РФ; ч.4 ст.15.15.6 КоАП РФ, ст.19.7 КоАП РФ и направлены в суды Староминского района, по которым вынесены постановления о привлечении к административной ответственности должностных лиц проверяемых объектов, а по ст.19.7 КоАП РФ производство по делу об административном правонарушении прекращено, по истечению сроков давности.</w:t>
      </w:r>
    </w:p>
    <w:p w14:paraId="0B35CAE5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</w:rPr>
        <w:t xml:space="preserve">За нарушения требований Федерального закона от 5 апреля 2013 года №44-ФЗ «О контрактной системе в сфере закупок товаров, работ, услуг для обеспечения государственных и муниципальных нужд» направлено в Управление федеральной антимонопольной службы 5 материалов, а в Прокуратуру Староминского района 1 материал. </w:t>
      </w:r>
    </w:p>
    <w:p w14:paraId="29B55E47" w14:textId="77777777" w:rsidR="00F604A5" w:rsidRDefault="00E54299">
      <w:pPr>
        <w:spacing w:after="0" w:line="240" w:lineRule="auto"/>
        <w:ind w:firstLine="708"/>
        <w:jc w:val="both"/>
        <w:rPr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Отчеты по результатам проведенных контрольных мероприятий направлялись главе муниципального образования Староминский район, председателю Совета муниципального образования Староминский район и главам сельских поселений, председателям Советов сельских поселений Староминского района.</w:t>
      </w:r>
    </w:p>
    <w:p w14:paraId="2DEE8E47" w14:textId="77777777" w:rsidR="00F604A5" w:rsidRDefault="00F604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cyan"/>
        </w:rPr>
      </w:pPr>
    </w:p>
    <w:p w14:paraId="33D51462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Наряду с контрольными мероприятиями, Контрольно-счетная палата проводила и экспертно-аналитические мероприятия. Проведенными экспертно-аналитическими мероприятиями Контрольно-счетной  палатой в отчетном периоде охвачены представленные администрацией муниципального </w:t>
      </w:r>
      <w:r>
        <w:rPr>
          <w:rFonts w:ascii="Times New Roman" w:hAnsi="Times New Roman"/>
          <w:sz w:val="28"/>
          <w:szCs w:val="28"/>
          <w:highlight w:val="white"/>
        </w:rPr>
        <w:lastRenderedPageBreak/>
        <w:t>образования Староминский район и администрациями сельских поселений проекты решений о местном бюджете и утверждении отчетов об исполнении местных бюджетов.</w:t>
      </w:r>
    </w:p>
    <w:p w14:paraId="107BBE3C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По результатам данных мероприятий подготовлены заключения, которые направлены в Советы и главам муниципальных образований Староминского района. Предложения и рекомендации, отраженные в заключениях контрольно-счетной палаты, практически в полном объеме приняты органами местного самоуправления Староминского района.</w:t>
      </w:r>
    </w:p>
    <w:p w14:paraId="763DB3F9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Контрольно-счетной палатой проведено 41 экспертно-аналитическое мероприятие из которых:</w:t>
      </w:r>
    </w:p>
    <w:p w14:paraId="382E4FCB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-6 по проектам решений о бюджете;</w:t>
      </w:r>
    </w:p>
    <w:p w14:paraId="63B7EDCB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-18 о ходе исполнения бюджета;</w:t>
      </w:r>
    </w:p>
    <w:p w14:paraId="222A76CA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-6 по проектам решений об исполнении бюджета;</w:t>
      </w:r>
    </w:p>
    <w:p w14:paraId="521BE864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-11 по финансово-экономической экспертизе проектов муниципальных правовых актов.</w:t>
      </w:r>
    </w:p>
    <w:p w14:paraId="13AF2956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Объем средств, охваченных экспертно-аналитическими мероприятиями, составил 3 709 484,3 тыс. рублей, в том числе в отношении сельских поселений 577 983,7 тыс. рублей.</w:t>
      </w:r>
    </w:p>
    <w:p w14:paraId="41D17606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cyan"/>
        </w:rPr>
      </w:pPr>
      <w:r>
        <w:rPr>
          <w:rFonts w:ascii="Times New Roman" w:hAnsi="Times New Roman"/>
          <w:sz w:val="28"/>
          <w:szCs w:val="28"/>
          <w:highlight w:val="white"/>
        </w:rPr>
        <w:t>По итогам проведенных экспертно-аналитических мероприятий выявлено нарушение действующего законодательства имеющее стоимостное выражение в сумме 1538,1 тыс. рублей. В том числе: нарушение ст.81 Бюджетного кодекса РФ, Закона Краснодарского края от 27.09.2012 г. №2584-КЗ, Устава муниципального образования Староминский район, постановления администрации муниципального образования Староминский район от 16.08.2018 №1188 «</w:t>
      </w:r>
      <w:r>
        <w:rPr>
          <w:rFonts w:ascii="Times New Roman" w:hAnsi="Times New Roman"/>
          <w:sz w:val="28"/>
          <w:highlight w:val="white"/>
        </w:rPr>
        <w:t>Об утверждении Положения о порядке использования бюджетных ассигно</w:t>
      </w:r>
      <w:r>
        <w:rPr>
          <w:rFonts w:ascii="Times New Roman" w:hAnsi="Times New Roman"/>
          <w:sz w:val="28"/>
        </w:rPr>
        <w:t xml:space="preserve">ваний резервного фонда администрации муниципального образования Староминский район» в сумме                       969,6 тыс.рублей, выразившее в неправомерном выделении бюджетных средств резервного фонда на исполнение государственных полномочий. В результате проводимого мероприятия средства в сумме 969,6 тыс.рублей возвращены в резервный фонд и недопущено нецелевое использование бюджетных средств. Структуру остальных нарушений в сумме 568,5 тыс.рублей : нарушение ст.81 БК РФ, ст.160.1, ст.184.1 БК РФ, ст.29 БК РФ). </w:t>
      </w:r>
    </w:p>
    <w:p w14:paraId="1BA99D59" w14:textId="77777777" w:rsidR="00F604A5" w:rsidRDefault="00F604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cyan"/>
        </w:rPr>
      </w:pPr>
    </w:p>
    <w:p w14:paraId="550618A7" w14:textId="77777777" w:rsidR="00F604A5" w:rsidRDefault="00E54299">
      <w:pPr>
        <w:pStyle w:val="afc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>Информационная деятельность</w:t>
      </w:r>
    </w:p>
    <w:p w14:paraId="65EC96C8" w14:textId="77777777" w:rsidR="00F604A5" w:rsidRDefault="00F604A5">
      <w:pPr>
        <w:spacing w:after="0" w:line="240" w:lineRule="auto"/>
        <w:ind w:firstLine="708"/>
        <w:jc w:val="both"/>
        <w:rPr>
          <w:rFonts w:ascii="Times New Roman" w:hAnsi="Times New Roman"/>
          <w:b/>
          <w:color w:val="FF0000"/>
          <w:sz w:val="28"/>
          <w:szCs w:val="28"/>
          <w:highlight w:val="white"/>
        </w:rPr>
      </w:pPr>
    </w:p>
    <w:p w14:paraId="406167E0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Информационная деятельность Контрольно-счетной палаты состоит в информировании органов местного самоуправления и населения муниципального образования о результатах проведенных контрольных и экспертно-аналитических мероприятий.</w:t>
      </w:r>
    </w:p>
    <w:p w14:paraId="73DAC175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 соответствии с Положением о Контрольно-счетной палате в Совет муниципального образования Староминский район, Советы сельских поселений Староминский район, а также в администрации района и поселений для ознакомления и принятия мер направлялись отчеты по итогам проведенных </w:t>
      </w:r>
      <w:r>
        <w:rPr>
          <w:rFonts w:ascii="Times New Roman" w:hAnsi="Times New Roman"/>
          <w:sz w:val="28"/>
          <w:szCs w:val="28"/>
          <w:highlight w:val="white"/>
        </w:rPr>
        <w:lastRenderedPageBreak/>
        <w:t>Контрольно-счетной палатой мероприятий и информация по экспертно-аналитическим мероприятиям всего в количестве 107 единиц.</w:t>
      </w:r>
    </w:p>
    <w:p w14:paraId="2A3C917A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Информация о деятельности Контрольно-счетной палаты и проведенных контрольных и экспертно-аналитических мероприятиях, о выявленных при их проведении нарушениях размещена на официальном сайте Контрольно-счетной палаты </w:t>
      </w:r>
      <w:r>
        <w:rPr>
          <w:rFonts w:ascii="Times New Roman" w:hAnsi="Times New Roman"/>
          <w:sz w:val="28"/>
          <w:szCs w:val="28"/>
          <w:highlight w:val="white"/>
          <w:lang w:val="en-US"/>
        </w:rPr>
        <w:t>kspminsk</w:t>
      </w:r>
      <w:r>
        <w:rPr>
          <w:rFonts w:ascii="Times New Roman" w:hAnsi="Times New Roman"/>
          <w:sz w:val="28"/>
          <w:szCs w:val="28"/>
          <w:highlight w:val="white"/>
        </w:rPr>
        <w:t>.</w:t>
      </w:r>
      <w:r>
        <w:rPr>
          <w:rFonts w:ascii="Times New Roman" w:hAnsi="Times New Roman"/>
          <w:sz w:val="28"/>
          <w:szCs w:val="28"/>
          <w:highlight w:val="white"/>
          <w:lang w:val="en-US"/>
        </w:rPr>
        <w:t>ru</w:t>
      </w:r>
      <w:r>
        <w:rPr>
          <w:rFonts w:ascii="Times New Roman" w:hAnsi="Times New Roman"/>
          <w:sz w:val="28"/>
          <w:szCs w:val="28"/>
          <w:highlight w:val="white"/>
        </w:rPr>
        <w:t xml:space="preserve">. </w:t>
      </w:r>
    </w:p>
    <w:p w14:paraId="70A5C56A" w14:textId="77777777" w:rsidR="00F604A5" w:rsidRDefault="00F604A5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highlight w:val="cyan"/>
        </w:rPr>
      </w:pPr>
    </w:p>
    <w:p w14:paraId="22937A61" w14:textId="77777777" w:rsidR="00F604A5" w:rsidRDefault="00E54299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>3. Организационная деятельность</w:t>
      </w:r>
    </w:p>
    <w:p w14:paraId="0ECAB348" w14:textId="77777777" w:rsidR="00F604A5" w:rsidRDefault="00F604A5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highlight w:val="white"/>
        </w:rPr>
      </w:pPr>
    </w:p>
    <w:p w14:paraId="114C950B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Особое значение при организации работы в отчетном периоде придавалось развитию взаимоотношений с Контрольно-счетной палатой Краснодарского края и контрольно-счетными органами муниципальных образований Краснодарского края. С ноября 2013 года Контрольно-счетная палата находится в составе Совета контрольно-счетных органов Краснодарского края, который оказывает консультативную, методическую помощь в проведении контрольных и экспертно-аналитических мероприятий.</w:t>
      </w:r>
    </w:p>
    <w:p w14:paraId="41FE9034" w14:textId="77777777" w:rsidR="00F604A5" w:rsidRDefault="00F604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cyan"/>
        </w:rPr>
      </w:pPr>
    </w:p>
    <w:p w14:paraId="5DEEE01F" w14:textId="77777777" w:rsidR="00F604A5" w:rsidRDefault="00E54299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>4. Основные направления деятельности Контрольно-счетной палаты в 2023 году</w:t>
      </w:r>
    </w:p>
    <w:p w14:paraId="3018FF2C" w14:textId="77777777" w:rsidR="00F604A5" w:rsidRDefault="00F604A5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FF0000"/>
          <w:sz w:val="28"/>
          <w:szCs w:val="28"/>
          <w:highlight w:val="cyan"/>
        </w:rPr>
      </w:pPr>
    </w:p>
    <w:p w14:paraId="4A0202C4" w14:textId="77777777" w:rsidR="00F604A5" w:rsidRDefault="00E54299">
      <w:pPr>
        <w:spacing w:after="0" w:line="240" w:lineRule="auto"/>
        <w:ind w:firstLine="708"/>
        <w:jc w:val="both"/>
        <w:rPr>
          <w:color w:val="000000" w:themeColor="text1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>Основные направления деятельности Контрольно-счетной палаты на 2023 год отражены в плане работы, которым предусмотрено осуществление комплекса контрольных и экспертно-аналитических мероприятий, обеспечивающего реализацию задач и функций, возложенных на Контрольно-счетную палату. В 2023 году предусмотрено проведение 18 контрольных и 36 экспертно-аналитических мероприятий, а также ряд мероприятий в информационной, правовой, организационной деятельности. Постоянным плановым мероприятием является экспертиза проектов нормативных правовых актов, регулирующих бюджетные правоотношения. Также будет продолжена деятельность по финансово-экономической экспертизе проектов муниципальных правовых актов (включая обоснованность финансово-экономических обоснований) в части, касающейся расходных обязательств муниципального образования, а также муниципальных программ. Особое внимание будет уделено повышению качества контроля за исполнением местного бюджета, экспертизы проектов местного бюджета. Деятельность палаты будет ориентирована на повышение информационной открытости и прозрачности путем освещения всех направлений деятельности Контрольно-счетной палаты в сети Интернет.</w:t>
      </w:r>
    </w:p>
    <w:p w14:paraId="4A30F37E" w14:textId="77777777" w:rsidR="004D69DC" w:rsidRDefault="004D69D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</w:p>
    <w:p w14:paraId="52F9FDE4" w14:textId="77777777" w:rsidR="004D69DC" w:rsidRDefault="004D69D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</w:p>
    <w:p w14:paraId="5B8DFADA" w14:textId="77777777" w:rsidR="004D69DC" w:rsidRDefault="004D69D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</w:p>
    <w:p w14:paraId="70DD7407" w14:textId="77777777" w:rsidR="004D69DC" w:rsidRDefault="004D69D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</w:p>
    <w:p w14:paraId="7AB933E4" w14:textId="77777777" w:rsidR="004D69DC" w:rsidRDefault="004D69D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highlight w:val="white"/>
        </w:rPr>
      </w:pPr>
    </w:p>
    <w:p w14:paraId="2E089BB4" w14:textId="77777777" w:rsidR="00F604A5" w:rsidRDefault="00E5429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lastRenderedPageBreak/>
        <w:t>В 2023 году Контрольно-счетной палатой будет продолжена работа по совершенствованию внешнего муниципального финансового контроля, повышению его качества и эффективности.</w:t>
      </w:r>
    </w:p>
    <w:p w14:paraId="1B4A1532" w14:textId="77777777" w:rsidR="00F604A5" w:rsidRDefault="00F604A5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highlight w:val="cyan"/>
        </w:rPr>
      </w:pPr>
    </w:p>
    <w:p w14:paraId="041BD99D" w14:textId="77777777" w:rsidR="00F604A5" w:rsidRDefault="00F604A5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highlight w:val="cyan"/>
        </w:rPr>
      </w:pPr>
    </w:p>
    <w:p w14:paraId="3B780339" w14:textId="77777777" w:rsidR="00E54299" w:rsidRDefault="00E54299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highlight w:val="cyan"/>
        </w:rPr>
      </w:pPr>
    </w:p>
    <w:p w14:paraId="06207B7A" w14:textId="77777777" w:rsidR="00F604A5" w:rsidRDefault="00E54299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Председатель контрольно-счетной палаты</w:t>
      </w:r>
    </w:p>
    <w:p w14:paraId="272D9BAA" w14:textId="77777777" w:rsidR="00F604A5" w:rsidRDefault="00E54299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муниципального образования</w:t>
      </w:r>
    </w:p>
    <w:p w14:paraId="1BB97FE8" w14:textId="77777777" w:rsidR="00F604A5" w:rsidRDefault="00E54299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Староминский район                                                                         Е.Г. Дейнега</w:t>
      </w:r>
    </w:p>
    <w:sectPr w:rsidR="00F604A5" w:rsidSect="00E54299">
      <w:headerReference w:type="default" r:id="rId8"/>
      <w:headerReference w:type="first" r:id="rId9"/>
      <w:pgSz w:w="11906" w:h="16838"/>
      <w:pgMar w:top="1134" w:right="567" w:bottom="1134" w:left="1701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AD6F8" w14:textId="77777777" w:rsidR="00E54299" w:rsidRDefault="00E54299">
      <w:pPr>
        <w:spacing w:after="0" w:line="240" w:lineRule="auto"/>
      </w:pPr>
      <w:r>
        <w:separator/>
      </w:r>
    </w:p>
  </w:endnote>
  <w:endnote w:type="continuationSeparator" w:id="0">
    <w:p w14:paraId="7580DB6D" w14:textId="77777777" w:rsidR="00E54299" w:rsidRDefault="00E54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CB522" w14:textId="77777777" w:rsidR="00E54299" w:rsidRDefault="00E54299">
      <w:pPr>
        <w:spacing w:after="0" w:line="240" w:lineRule="auto"/>
      </w:pPr>
      <w:r>
        <w:separator/>
      </w:r>
    </w:p>
  </w:footnote>
  <w:footnote w:type="continuationSeparator" w:id="0">
    <w:p w14:paraId="20EAE2B6" w14:textId="77777777" w:rsidR="00E54299" w:rsidRDefault="00E542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38326"/>
      <w:docPartObj>
        <w:docPartGallery w:val="Page Numbers (Top of Page)"/>
        <w:docPartUnique/>
      </w:docPartObj>
    </w:sdtPr>
    <w:sdtEndPr/>
    <w:sdtContent>
      <w:p w14:paraId="19661F56" w14:textId="77777777" w:rsidR="00E54299" w:rsidRDefault="00FD0CA3">
        <w:pPr>
          <w:pStyle w:val="af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69D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CCDC43" w14:textId="77777777" w:rsidR="00E54299" w:rsidRDefault="00E54299">
    <w:pPr>
      <w:pStyle w:val="1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A66A1" w14:textId="77777777" w:rsidR="00E54299" w:rsidRDefault="00E54299">
    <w:pPr>
      <w:pStyle w:val="afd"/>
      <w:jc w:val="center"/>
    </w:pPr>
  </w:p>
  <w:p w14:paraId="580FE316" w14:textId="77777777" w:rsidR="00E54299" w:rsidRDefault="00E54299">
    <w:pPr>
      <w:pStyle w:val="2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C19A9"/>
    <w:multiLevelType w:val="hybridMultilevel"/>
    <w:tmpl w:val="4C025A30"/>
    <w:lvl w:ilvl="0" w:tplc="37FE6328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5F46664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1E56532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387EBFC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25A45BB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1E4EEC0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F21EFAF4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0CDA799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1318E68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414D71B9"/>
    <w:multiLevelType w:val="hybridMultilevel"/>
    <w:tmpl w:val="47F4AE3A"/>
    <w:lvl w:ilvl="0" w:tplc="604E1CA4">
      <w:start w:val="1"/>
      <w:numFmt w:val="decimal"/>
      <w:lvlText w:val="%1."/>
      <w:lvlJc w:val="left"/>
      <w:pPr>
        <w:tabs>
          <w:tab w:val="num" w:pos="825"/>
        </w:tabs>
        <w:ind w:left="825" w:hanging="525"/>
      </w:pPr>
      <w:rPr>
        <w:rFonts w:hint="default"/>
      </w:rPr>
    </w:lvl>
    <w:lvl w:ilvl="1" w:tplc="34A85F34">
      <w:start w:val="1"/>
      <w:numFmt w:val="bullet"/>
      <w:lvlText w:val="-"/>
      <w:lvlJc w:val="left"/>
      <w:pPr>
        <w:tabs>
          <w:tab w:val="num" w:pos="1545"/>
        </w:tabs>
        <w:ind w:left="1545" w:hanging="525"/>
      </w:pPr>
      <w:rPr>
        <w:rFonts w:ascii="Times New Roman" w:eastAsia="Times New Roman" w:hAnsi="Times New Roman" w:cs="Times New Roman" w:hint="default"/>
      </w:rPr>
    </w:lvl>
    <w:lvl w:ilvl="2" w:tplc="DFE610D6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61E60EA0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86FAAB60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182A4E66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1CE6149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4BAC557A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7FCC4FCA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04A5"/>
    <w:rsid w:val="004D69DC"/>
    <w:rsid w:val="00E54299"/>
    <w:rsid w:val="00F604A5"/>
    <w:rsid w:val="00FD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02C8E3"/>
  <w15:docId w15:val="{71413328-D0DE-42B8-88E9-9D55E7122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04A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F604A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F604A5"/>
    <w:rPr>
      <w:sz w:val="24"/>
      <w:szCs w:val="24"/>
    </w:rPr>
  </w:style>
  <w:style w:type="character" w:customStyle="1" w:styleId="QuoteChar">
    <w:name w:val="Quote Char"/>
    <w:uiPriority w:val="29"/>
    <w:rsid w:val="00F604A5"/>
    <w:rPr>
      <w:i/>
    </w:rPr>
  </w:style>
  <w:style w:type="character" w:customStyle="1" w:styleId="IntenseQuoteChar">
    <w:name w:val="Intense Quote Char"/>
    <w:uiPriority w:val="30"/>
    <w:rsid w:val="00F604A5"/>
    <w:rPr>
      <w:i/>
    </w:rPr>
  </w:style>
  <w:style w:type="character" w:customStyle="1" w:styleId="FootnoteTextChar">
    <w:name w:val="Footnote Text Char"/>
    <w:uiPriority w:val="99"/>
    <w:rsid w:val="00F604A5"/>
    <w:rPr>
      <w:sz w:val="18"/>
    </w:rPr>
  </w:style>
  <w:style w:type="character" w:customStyle="1" w:styleId="EndnoteTextChar">
    <w:name w:val="Endnote Text Char"/>
    <w:uiPriority w:val="99"/>
    <w:rsid w:val="00F604A5"/>
    <w:rPr>
      <w:sz w:val="20"/>
    </w:rPr>
  </w:style>
  <w:style w:type="paragraph" w:customStyle="1" w:styleId="11">
    <w:name w:val="Заголовок 11"/>
    <w:basedOn w:val="a"/>
    <w:next w:val="a"/>
    <w:link w:val="110"/>
    <w:qFormat/>
    <w:rsid w:val="00F604A5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  <w:lang w:eastAsia="ru-RU"/>
    </w:rPr>
  </w:style>
  <w:style w:type="paragraph" w:customStyle="1" w:styleId="31">
    <w:name w:val="Заголовок 31"/>
    <w:basedOn w:val="a"/>
    <w:next w:val="a"/>
    <w:link w:val="310"/>
    <w:qFormat/>
    <w:rsid w:val="00F604A5"/>
    <w:pPr>
      <w:keepNext/>
      <w:spacing w:after="0" w:line="240" w:lineRule="auto"/>
      <w:outlineLvl w:val="2"/>
    </w:pPr>
    <w:rPr>
      <w:rFonts w:ascii="Times New Roman" w:hAnsi="Times New Roman"/>
      <w:b/>
      <w:bCs/>
      <w:sz w:val="28"/>
      <w:szCs w:val="24"/>
      <w:lang w:eastAsia="ru-RU"/>
    </w:rPr>
  </w:style>
  <w:style w:type="paragraph" w:customStyle="1" w:styleId="41">
    <w:name w:val="Заголовок 41"/>
    <w:basedOn w:val="a"/>
    <w:next w:val="a"/>
    <w:link w:val="410"/>
    <w:qFormat/>
    <w:rsid w:val="00F604A5"/>
    <w:pPr>
      <w:keepNext/>
      <w:spacing w:after="0" w:line="240" w:lineRule="auto"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character" w:customStyle="1" w:styleId="Heading1Char">
    <w:name w:val="Heading 1 Char"/>
    <w:basedOn w:val="a0"/>
    <w:uiPriority w:val="9"/>
    <w:rsid w:val="00F604A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F604A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F604A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F604A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F604A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F604A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F604A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"/>
    <w:uiPriority w:val="9"/>
    <w:rsid w:val="00F604A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F604A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F604A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F604A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F604A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F604A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F604A5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F604A5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sid w:val="00F604A5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F604A5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F604A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F604A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F604A5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F604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F604A5"/>
    <w:rPr>
      <w:i/>
    </w:rPr>
  </w:style>
  <w:style w:type="character" w:customStyle="1" w:styleId="HeaderChar">
    <w:name w:val="Header Char"/>
    <w:basedOn w:val="a0"/>
    <w:uiPriority w:val="99"/>
    <w:rsid w:val="00F604A5"/>
  </w:style>
  <w:style w:type="character" w:customStyle="1" w:styleId="FooterChar">
    <w:name w:val="Footer Char"/>
    <w:basedOn w:val="a0"/>
    <w:uiPriority w:val="99"/>
    <w:rsid w:val="00F604A5"/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sid w:val="00F604A5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F604A5"/>
  </w:style>
  <w:style w:type="table" w:styleId="a9">
    <w:name w:val="Table Grid"/>
    <w:basedOn w:val="a1"/>
    <w:uiPriority w:val="59"/>
    <w:rsid w:val="00F604A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F604A5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1">
    <w:name w:val="Таблица простая 11"/>
    <w:basedOn w:val="a1"/>
    <w:uiPriority w:val="59"/>
    <w:rsid w:val="00F604A5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">
    <w:name w:val="Таблица простая 21"/>
    <w:basedOn w:val="a1"/>
    <w:uiPriority w:val="59"/>
    <w:rsid w:val="00F604A5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basedOn w:val="a1"/>
    <w:uiPriority w:val="99"/>
    <w:rsid w:val="00F604A5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1">
    <w:name w:val="Таблица простая 41"/>
    <w:basedOn w:val="a1"/>
    <w:uiPriority w:val="99"/>
    <w:rsid w:val="00F604A5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rsid w:val="00F604A5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rsid w:val="00F604A5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604A5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604A5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604A5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604A5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604A5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604A5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F604A5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F604A5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604A5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604A5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604A5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604A5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604A5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F604A5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604A5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604A5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604A5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604A5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604A5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604A5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F604A5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604A5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604A5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604A5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604A5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604A5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604A5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F604A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604A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604A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604A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604A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F604A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604A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F604A5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604A5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604A5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604A5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604A5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604A5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604A5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F604A5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604A5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604A5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604A5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604A5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604A5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604A5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F604A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604A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604A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604A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604A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604A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604A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F604A5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604A5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604A5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604A5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604A5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604A5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604A5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F604A5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604A5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604A5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604A5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604A5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604A5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604A5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F604A5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604A5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604A5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604A5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604A5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604A5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604A5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F604A5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604A5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604A5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604A5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604A5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604A5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604A5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F604A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604A5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604A5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604A5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604A5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604A5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604A5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F604A5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604A5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604A5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604A5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604A5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604A5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604A5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604A5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sid w:val="00F604A5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604A5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604A5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604A5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604A5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604A5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604A5"/>
    <w:rPr>
      <w:color w:val="40404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sid w:val="00F604A5"/>
    <w:rPr>
      <w:color w:val="40404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604A5"/>
    <w:rPr>
      <w:color w:val="40404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604A5"/>
    <w:rPr>
      <w:color w:val="40404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604A5"/>
    <w:rPr>
      <w:color w:val="40404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604A5"/>
    <w:rPr>
      <w:color w:val="40404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604A5"/>
    <w:rPr>
      <w:color w:val="40404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F604A5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604A5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604A5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604A5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604A5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604A5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604A5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F604A5"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F604A5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F604A5"/>
    <w:rPr>
      <w:sz w:val="18"/>
    </w:rPr>
  </w:style>
  <w:style w:type="character" w:styleId="ad">
    <w:name w:val="footnote reference"/>
    <w:basedOn w:val="a0"/>
    <w:uiPriority w:val="99"/>
    <w:unhideWhenUsed/>
    <w:rsid w:val="00F604A5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F604A5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F604A5"/>
    <w:rPr>
      <w:sz w:val="20"/>
    </w:rPr>
  </w:style>
  <w:style w:type="character" w:styleId="af0">
    <w:name w:val="endnote reference"/>
    <w:basedOn w:val="a0"/>
    <w:uiPriority w:val="99"/>
    <w:semiHidden/>
    <w:unhideWhenUsed/>
    <w:rsid w:val="00F604A5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F604A5"/>
    <w:pPr>
      <w:spacing w:after="57"/>
    </w:pPr>
  </w:style>
  <w:style w:type="paragraph" w:styleId="22">
    <w:name w:val="toc 2"/>
    <w:basedOn w:val="a"/>
    <w:next w:val="a"/>
    <w:uiPriority w:val="39"/>
    <w:unhideWhenUsed/>
    <w:rsid w:val="00F604A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F604A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F604A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F604A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F604A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F604A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F604A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F604A5"/>
    <w:pPr>
      <w:spacing w:after="57"/>
      <w:ind w:left="2268"/>
    </w:pPr>
  </w:style>
  <w:style w:type="paragraph" w:styleId="af1">
    <w:name w:val="TOC Heading"/>
    <w:uiPriority w:val="39"/>
    <w:unhideWhenUsed/>
    <w:rsid w:val="00F604A5"/>
  </w:style>
  <w:style w:type="paragraph" w:styleId="af2">
    <w:name w:val="table of figures"/>
    <w:basedOn w:val="a"/>
    <w:next w:val="a"/>
    <w:uiPriority w:val="99"/>
    <w:unhideWhenUsed/>
    <w:rsid w:val="00F604A5"/>
    <w:pPr>
      <w:spacing w:after="0"/>
    </w:pPr>
  </w:style>
  <w:style w:type="paragraph" w:customStyle="1" w:styleId="12">
    <w:name w:val="Заголовок 12"/>
    <w:basedOn w:val="a"/>
    <w:next w:val="a"/>
    <w:link w:val="13"/>
    <w:uiPriority w:val="9"/>
    <w:qFormat/>
    <w:rsid w:val="00F604A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210">
    <w:name w:val="Заголовок 21"/>
    <w:basedOn w:val="a"/>
    <w:next w:val="a"/>
    <w:link w:val="23"/>
    <w:unhideWhenUsed/>
    <w:qFormat/>
    <w:rsid w:val="00F604A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32">
    <w:name w:val="Заголовок 32"/>
    <w:basedOn w:val="a"/>
    <w:next w:val="a"/>
    <w:link w:val="30"/>
    <w:uiPriority w:val="9"/>
    <w:unhideWhenUsed/>
    <w:qFormat/>
    <w:rsid w:val="00F604A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42">
    <w:name w:val="Заголовок 42"/>
    <w:basedOn w:val="a"/>
    <w:next w:val="a"/>
    <w:link w:val="40"/>
    <w:uiPriority w:val="9"/>
    <w:semiHidden/>
    <w:unhideWhenUsed/>
    <w:qFormat/>
    <w:rsid w:val="00F604A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3">
    <w:name w:val="Заголовок 1 Знак"/>
    <w:basedOn w:val="a0"/>
    <w:link w:val="12"/>
    <w:rsid w:val="00F604A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3">
    <w:name w:val="Заголовок 2 Знак"/>
    <w:basedOn w:val="a0"/>
    <w:link w:val="210"/>
    <w:rsid w:val="00F604A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2"/>
    <w:rsid w:val="00F604A5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f3">
    <w:name w:val="No Spacing"/>
    <w:uiPriority w:val="1"/>
    <w:qFormat/>
    <w:rsid w:val="00F604A5"/>
    <w:rPr>
      <w:sz w:val="22"/>
      <w:szCs w:val="22"/>
    </w:rPr>
  </w:style>
  <w:style w:type="paragraph" w:customStyle="1" w:styleId="14">
    <w:name w:val="Верхний колонтитул1"/>
    <w:basedOn w:val="a"/>
    <w:link w:val="af4"/>
    <w:unhideWhenUsed/>
    <w:rsid w:val="00F60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14"/>
    <w:uiPriority w:val="99"/>
    <w:rsid w:val="00F604A5"/>
    <w:rPr>
      <w:sz w:val="22"/>
      <w:szCs w:val="22"/>
    </w:rPr>
  </w:style>
  <w:style w:type="paragraph" w:customStyle="1" w:styleId="15">
    <w:name w:val="Нижний колонтитул1"/>
    <w:basedOn w:val="a"/>
    <w:link w:val="af5"/>
    <w:uiPriority w:val="99"/>
    <w:unhideWhenUsed/>
    <w:rsid w:val="00F60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15"/>
    <w:uiPriority w:val="99"/>
    <w:rsid w:val="00F604A5"/>
    <w:rPr>
      <w:sz w:val="22"/>
      <w:szCs w:val="22"/>
    </w:rPr>
  </w:style>
  <w:style w:type="paragraph" w:styleId="af6">
    <w:name w:val="Body Text"/>
    <w:basedOn w:val="a"/>
    <w:link w:val="af7"/>
    <w:semiHidden/>
    <w:rsid w:val="00F604A5"/>
    <w:pPr>
      <w:shd w:val="clear" w:color="auto" w:fill="FFFFFF"/>
      <w:spacing w:after="0" w:line="240" w:lineRule="auto"/>
    </w:pPr>
    <w:rPr>
      <w:rFonts w:ascii="Times New Roman" w:hAnsi="Times New Roman"/>
      <w:color w:val="000000"/>
      <w:sz w:val="28"/>
      <w:szCs w:val="14"/>
      <w:lang w:eastAsia="ru-RU"/>
    </w:rPr>
  </w:style>
  <w:style w:type="character" w:customStyle="1" w:styleId="af7">
    <w:name w:val="Основной текст Знак"/>
    <w:basedOn w:val="a0"/>
    <w:link w:val="af6"/>
    <w:semiHidden/>
    <w:rsid w:val="00F604A5"/>
    <w:rPr>
      <w:rFonts w:ascii="Times New Roman" w:hAnsi="Times New Roman"/>
      <w:color w:val="000000"/>
      <w:sz w:val="28"/>
      <w:szCs w:val="14"/>
      <w:shd w:val="clear" w:color="auto" w:fill="FFFFFF"/>
      <w:lang w:eastAsia="ru-RU"/>
    </w:rPr>
  </w:style>
  <w:style w:type="paragraph" w:styleId="af8">
    <w:name w:val="Body Text Indent"/>
    <w:basedOn w:val="a"/>
    <w:link w:val="af9"/>
    <w:semiHidden/>
    <w:rsid w:val="00F604A5"/>
    <w:pPr>
      <w:spacing w:after="0" w:line="240" w:lineRule="auto"/>
      <w:ind w:firstLine="708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semiHidden/>
    <w:rsid w:val="00F604A5"/>
    <w:rPr>
      <w:rFonts w:ascii="Times New Roman" w:hAnsi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rsid w:val="00F604A5"/>
    <w:pPr>
      <w:spacing w:after="0" w:line="240" w:lineRule="auto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F604A5"/>
    <w:rPr>
      <w:rFonts w:ascii="Times New Roman" w:hAnsi="Times New Roman"/>
      <w:sz w:val="28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F60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F604A5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2"/>
    <w:rsid w:val="00F604A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fc">
    <w:name w:val="List Paragraph"/>
    <w:basedOn w:val="a"/>
    <w:uiPriority w:val="34"/>
    <w:qFormat/>
    <w:rsid w:val="00F604A5"/>
    <w:pPr>
      <w:ind w:left="720"/>
      <w:contextualSpacing/>
    </w:pPr>
  </w:style>
  <w:style w:type="paragraph" w:customStyle="1" w:styleId="24">
    <w:name w:val="Верхний колонтитул2"/>
    <w:basedOn w:val="a"/>
    <w:link w:val="16"/>
    <w:uiPriority w:val="99"/>
    <w:unhideWhenUsed/>
    <w:rsid w:val="00F60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Верхний колонтитул Знак1"/>
    <w:basedOn w:val="a0"/>
    <w:link w:val="24"/>
    <w:uiPriority w:val="99"/>
    <w:semiHidden/>
    <w:rsid w:val="00F604A5"/>
    <w:rPr>
      <w:sz w:val="22"/>
      <w:szCs w:val="22"/>
    </w:rPr>
  </w:style>
  <w:style w:type="paragraph" w:customStyle="1" w:styleId="25">
    <w:name w:val="Нижний колонтитул2"/>
    <w:basedOn w:val="a"/>
    <w:link w:val="17"/>
    <w:uiPriority w:val="99"/>
    <w:semiHidden/>
    <w:unhideWhenUsed/>
    <w:rsid w:val="00F60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Нижний колонтитул Знак1"/>
    <w:basedOn w:val="a0"/>
    <w:link w:val="25"/>
    <w:uiPriority w:val="99"/>
    <w:semiHidden/>
    <w:rsid w:val="00F604A5"/>
    <w:rPr>
      <w:sz w:val="22"/>
      <w:szCs w:val="22"/>
    </w:rPr>
  </w:style>
  <w:style w:type="character" w:customStyle="1" w:styleId="110">
    <w:name w:val="Заголовок 1 Знак1"/>
    <w:basedOn w:val="a0"/>
    <w:link w:val="11"/>
    <w:uiPriority w:val="9"/>
    <w:rsid w:val="00F604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0">
    <w:name w:val="Заголовок 3 Знак1"/>
    <w:basedOn w:val="a0"/>
    <w:link w:val="31"/>
    <w:uiPriority w:val="9"/>
    <w:semiHidden/>
    <w:rsid w:val="00F604A5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410">
    <w:name w:val="Заголовок 4 Знак1"/>
    <w:basedOn w:val="a0"/>
    <w:link w:val="41"/>
    <w:uiPriority w:val="9"/>
    <w:semiHidden/>
    <w:rsid w:val="00F604A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fd">
    <w:name w:val="header"/>
    <w:basedOn w:val="a"/>
    <w:link w:val="26"/>
    <w:uiPriority w:val="99"/>
    <w:unhideWhenUsed/>
    <w:rsid w:val="00E54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6">
    <w:name w:val="Верхний колонтитул Знак2"/>
    <w:basedOn w:val="a0"/>
    <w:link w:val="afd"/>
    <w:uiPriority w:val="99"/>
    <w:semiHidden/>
    <w:rsid w:val="00E54299"/>
    <w:rPr>
      <w:sz w:val="22"/>
      <w:szCs w:val="22"/>
    </w:rPr>
  </w:style>
  <w:style w:type="paragraph" w:styleId="afe">
    <w:name w:val="footer"/>
    <w:basedOn w:val="a"/>
    <w:link w:val="27"/>
    <w:uiPriority w:val="99"/>
    <w:semiHidden/>
    <w:unhideWhenUsed/>
    <w:rsid w:val="00E54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7">
    <w:name w:val="Нижний колонтитул Знак2"/>
    <w:basedOn w:val="a0"/>
    <w:link w:val="afe"/>
    <w:uiPriority w:val="99"/>
    <w:semiHidden/>
    <w:rsid w:val="00E5429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16791-3CCB-4D9A-8C60-434495139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2620</Words>
  <Characters>14935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25</cp:revision>
  <dcterms:created xsi:type="dcterms:W3CDTF">2021-02-25T13:04:00Z</dcterms:created>
  <dcterms:modified xsi:type="dcterms:W3CDTF">2023-04-19T07:34:00Z</dcterms:modified>
</cp:coreProperties>
</file>